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38" w:rsidRDefault="00A81C38" w:rsidP="007C7623">
      <w:pPr>
        <w:shd w:val="clear" w:color="auto" w:fill="FFFFFF"/>
        <w:spacing w:after="0" w:line="360" w:lineRule="auto"/>
        <w:rPr>
          <w:rFonts w:ascii="Times New Roman" w:hAnsi="Times New Roman"/>
          <w:sz w:val="28"/>
          <w:szCs w:val="28"/>
          <w:lang w:val="en-US"/>
        </w:rPr>
      </w:pPr>
      <w:r w:rsidRPr="0047356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27pt">
            <v:imagedata r:id="rId7" o:title=""/>
          </v:shape>
        </w:pict>
      </w:r>
    </w:p>
    <w:p w:rsidR="00A81C38" w:rsidRDefault="00A81C38" w:rsidP="007C7623">
      <w:pPr>
        <w:shd w:val="clear" w:color="auto" w:fill="FFFFFF"/>
        <w:spacing w:after="0" w:line="360" w:lineRule="auto"/>
        <w:rPr>
          <w:rFonts w:ascii="Times New Roman" w:hAnsi="Times New Roman"/>
          <w:sz w:val="28"/>
          <w:szCs w:val="28"/>
          <w:lang w:val="en-US"/>
        </w:rPr>
      </w:pPr>
    </w:p>
    <w:p w:rsidR="00A81C38" w:rsidRDefault="00A81C38" w:rsidP="007C7623">
      <w:pPr>
        <w:shd w:val="clear" w:color="auto" w:fill="FFFFFF"/>
        <w:spacing w:after="0" w:line="360" w:lineRule="auto"/>
        <w:rPr>
          <w:rFonts w:ascii="Times New Roman" w:hAnsi="Times New Roman"/>
          <w:sz w:val="28"/>
          <w:szCs w:val="28"/>
          <w:lang w:val="en-US"/>
        </w:rPr>
      </w:pPr>
    </w:p>
    <w:p w:rsidR="00A81C38" w:rsidRDefault="00A81C38" w:rsidP="007C7623">
      <w:pPr>
        <w:shd w:val="clear" w:color="auto" w:fill="FFFFFF"/>
        <w:spacing w:after="0" w:line="360" w:lineRule="auto"/>
        <w:rPr>
          <w:rFonts w:ascii="Times New Roman" w:hAnsi="Times New Roman"/>
          <w:sz w:val="28"/>
          <w:szCs w:val="28"/>
          <w:lang w:val="en-US"/>
        </w:rPr>
      </w:pPr>
    </w:p>
    <w:p w:rsidR="00A81C38" w:rsidRPr="0047356C" w:rsidRDefault="00A81C38" w:rsidP="007C7623">
      <w:pPr>
        <w:shd w:val="clear" w:color="auto" w:fill="FFFFFF"/>
        <w:spacing w:after="0" w:line="360" w:lineRule="auto"/>
        <w:rPr>
          <w:rFonts w:ascii="Times New Roman" w:hAnsi="Times New Roman"/>
          <w:sz w:val="28"/>
          <w:szCs w:val="28"/>
          <w:lang w:val="en-US"/>
        </w:rPr>
      </w:pPr>
    </w:p>
    <w:p w:rsidR="00A81C38" w:rsidRPr="00B02D2E" w:rsidRDefault="00A81C38" w:rsidP="00E646F2">
      <w:pPr>
        <w:pStyle w:val="ListParagraph"/>
        <w:numPr>
          <w:ilvl w:val="0"/>
          <w:numId w:val="5"/>
        </w:numPr>
        <w:shd w:val="clear" w:color="auto" w:fill="FFFFFF"/>
        <w:spacing w:after="0" w:line="360" w:lineRule="auto"/>
        <w:jc w:val="center"/>
        <w:rPr>
          <w:rFonts w:ascii="Times New Roman" w:hAnsi="Times New Roman"/>
          <w:b/>
          <w:bCs/>
          <w:color w:val="000000"/>
          <w:sz w:val="28"/>
          <w:szCs w:val="28"/>
          <w:lang w:eastAsia="uk-UA"/>
        </w:rPr>
      </w:pPr>
      <w:r w:rsidRPr="00B02D2E">
        <w:rPr>
          <w:rFonts w:ascii="Times New Roman" w:hAnsi="Times New Roman"/>
          <w:b/>
          <w:bCs/>
          <w:color w:val="000000"/>
          <w:sz w:val="28"/>
          <w:szCs w:val="28"/>
          <w:lang w:eastAsia="uk-UA"/>
        </w:rPr>
        <w:t>Загальні положення</w:t>
      </w:r>
    </w:p>
    <w:p w:rsidR="00A81C38" w:rsidRPr="00B02D2E" w:rsidRDefault="00A81C38" w:rsidP="007C7623">
      <w:pPr>
        <w:shd w:val="clear" w:color="auto" w:fill="FFFFFF"/>
        <w:spacing w:after="0" w:line="360" w:lineRule="auto"/>
        <w:ind w:left="360"/>
        <w:rPr>
          <w:rFonts w:ascii="Times New Roman" w:hAnsi="Times New Roman"/>
          <w:color w:val="000000"/>
          <w:sz w:val="28"/>
          <w:szCs w:val="28"/>
          <w:lang w:eastAsia="uk-UA"/>
        </w:rPr>
      </w:pPr>
    </w:p>
    <w:p w:rsidR="00A81C38" w:rsidRPr="00B02D2E" w:rsidRDefault="00A81C38" w:rsidP="002615B3">
      <w:pPr>
        <w:shd w:val="clear" w:color="auto" w:fill="FFFFFF"/>
        <w:spacing w:after="0" w:line="360" w:lineRule="auto"/>
        <w:jc w:val="both"/>
        <w:rPr>
          <w:rFonts w:ascii="Times New Roman" w:hAnsi="Times New Roman"/>
          <w:color w:val="000000"/>
          <w:sz w:val="28"/>
          <w:szCs w:val="28"/>
          <w:lang w:eastAsia="uk-UA"/>
        </w:rPr>
      </w:pPr>
      <w:r w:rsidRPr="00B02D2E">
        <w:rPr>
          <w:rFonts w:ascii="Times New Roman" w:hAnsi="Times New Roman"/>
          <w:color w:val="000000"/>
          <w:sz w:val="28"/>
          <w:szCs w:val="28"/>
          <w:lang w:eastAsia="uk-UA"/>
        </w:rPr>
        <w:t>1.1.  Дане Положення регламентує порядок, процедуру і форми проведення контролю якості освітнього процесу на рівні Спеціалізованої економіко-правової школи І-ІІІ ступенів з поглибленим вивченням іноземної мови приватного вищого навчального закладу Харківський гуманітарний університет «</w:t>
      </w:r>
      <w:r>
        <w:rPr>
          <w:rFonts w:ascii="Times New Roman" w:hAnsi="Times New Roman"/>
          <w:color w:val="000000"/>
          <w:sz w:val="28"/>
          <w:szCs w:val="28"/>
          <w:lang w:eastAsia="uk-UA"/>
        </w:rPr>
        <w:t>Народна українська академія</w:t>
      </w:r>
      <w:r w:rsidRPr="00B02D2E">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(далі СЕПШ) у вигляді моніторингу.</w:t>
      </w:r>
    </w:p>
    <w:p w:rsidR="00A81C38" w:rsidRPr="00B02D2E" w:rsidRDefault="00A81C38" w:rsidP="00160489">
      <w:pPr>
        <w:shd w:val="clear" w:color="auto" w:fill="FFFFFF"/>
        <w:spacing w:after="0" w:line="360" w:lineRule="auto"/>
        <w:jc w:val="both"/>
        <w:rPr>
          <w:rFonts w:ascii="Times New Roman" w:hAnsi="Times New Roman"/>
          <w:color w:val="000000"/>
          <w:sz w:val="28"/>
          <w:szCs w:val="28"/>
          <w:lang w:eastAsia="uk-UA"/>
        </w:rPr>
      </w:pPr>
      <w:r w:rsidRPr="00B02D2E">
        <w:rPr>
          <w:rFonts w:ascii="Times New Roman" w:hAnsi="Times New Roman"/>
          <w:color w:val="000000"/>
          <w:sz w:val="28"/>
          <w:szCs w:val="28"/>
          <w:lang w:eastAsia="uk-UA"/>
        </w:rPr>
        <w:t xml:space="preserve">1.2. Нормативною основою моніторингу оцінки якості освітнього процесу є Конституція України, Закон України «Про освіту», Закон України «Про загальну середню освіту», інші закони, Указ Президента України «Про додаткові заходи щодо підвищення якості освіти в Україні», «Про невідкладні заходи щодо забезпечення функціонування та розвитку освіти», акти Президента України, Кабінету Міністрів України, накази МОН, розпорядження голів обласної, міської, районної держадміністрацій, положення про рейтингову оцінку професійної діяльності учителів, класних керівників СЕПШ, Статут </w:t>
      </w:r>
      <w:r>
        <w:rPr>
          <w:rFonts w:ascii="Times New Roman" w:hAnsi="Times New Roman"/>
          <w:color w:val="000000"/>
          <w:sz w:val="28"/>
          <w:szCs w:val="28"/>
          <w:lang w:eastAsia="uk-UA"/>
        </w:rPr>
        <w:t>ХГУ «НУА»</w:t>
      </w:r>
      <w:r w:rsidRPr="00B02D2E">
        <w:rPr>
          <w:rFonts w:ascii="Times New Roman" w:hAnsi="Times New Roman"/>
          <w:color w:val="000000"/>
          <w:sz w:val="28"/>
          <w:szCs w:val="28"/>
          <w:lang w:eastAsia="uk-UA"/>
        </w:rPr>
        <w:t>, Програма розвитку закладу.</w:t>
      </w:r>
    </w:p>
    <w:p w:rsidR="00A81C38" w:rsidRPr="00B02D2E" w:rsidRDefault="00A81C38" w:rsidP="002615B3">
      <w:pPr>
        <w:shd w:val="clear" w:color="auto" w:fill="FFFFFF"/>
        <w:spacing w:after="0" w:line="360" w:lineRule="auto"/>
        <w:jc w:val="both"/>
        <w:rPr>
          <w:rFonts w:ascii="Times New Roman" w:hAnsi="Times New Roman"/>
          <w:color w:val="000000"/>
          <w:sz w:val="28"/>
          <w:szCs w:val="28"/>
          <w:lang w:eastAsia="uk-UA"/>
        </w:rPr>
      </w:pPr>
      <w:r w:rsidRPr="00B02D2E">
        <w:rPr>
          <w:rFonts w:ascii="Times New Roman" w:hAnsi="Times New Roman"/>
          <w:color w:val="000000"/>
          <w:sz w:val="28"/>
          <w:szCs w:val="28"/>
          <w:lang w:eastAsia="uk-UA"/>
        </w:rPr>
        <w:t>Дане Положення спрямоване на підвищення якості освіти, активізацію й удосконалення діяльності навчального закладу.</w:t>
      </w:r>
    </w:p>
    <w:p w:rsidR="00A81C38" w:rsidRPr="00B02D2E" w:rsidRDefault="00A81C38" w:rsidP="002615B3">
      <w:pPr>
        <w:shd w:val="clear" w:color="auto" w:fill="FFFFFF"/>
        <w:spacing w:after="0" w:line="360" w:lineRule="auto"/>
        <w:jc w:val="both"/>
        <w:rPr>
          <w:rFonts w:ascii="Times New Roman" w:hAnsi="Times New Roman"/>
          <w:color w:val="000000"/>
          <w:sz w:val="28"/>
          <w:szCs w:val="28"/>
          <w:lang w:eastAsia="uk-UA"/>
        </w:rPr>
      </w:pPr>
      <w:r w:rsidRPr="00B02D2E">
        <w:rPr>
          <w:rFonts w:ascii="Times New Roman" w:hAnsi="Times New Roman"/>
          <w:color w:val="000000"/>
          <w:sz w:val="28"/>
          <w:szCs w:val="28"/>
          <w:lang w:eastAsia="uk-UA"/>
        </w:rPr>
        <w:t>1.3. 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B02D2E">
        <w:rPr>
          <w:rFonts w:ascii="Times New Roman" w:hAnsi="Times New Roman"/>
          <w:color w:val="000000"/>
          <w:sz w:val="28"/>
          <w:szCs w:val="28"/>
          <w:lang w:eastAsia="uk-UA"/>
        </w:rPr>
        <w:t>1.4. Внутрішній моніторинг діяльності є складовою частиною системи освітнього моніторингу, яка передбачає збирання (первинні дані), оброблення (аналіз і оцінка якості освіти), зберігання (формування і ведення бази даних) та розповсюдження інформації про стан освіти (адресне забезпечення користувачів статистичною й аналітичною інформацією), прогнозування н</w:t>
      </w:r>
      <w:r w:rsidRPr="007C7623">
        <w:rPr>
          <w:rFonts w:ascii="Times New Roman" w:hAnsi="Times New Roman"/>
          <w:color w:val="000000"/>
          <w:sz w:val="28"/>
          <w:szCs w:val="28"/>
          <w:lang w:eastAsia="uk-UA"/>
        </w:rPr>
        <w:t>а підставі об'єктивних даних динаміки й основних тенденцій її розвитку,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 формування завдань, тестів іншого інструментарію для оцінки якості освітнього процесу з методичними рекомендаціями.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1.5. 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1.6. Проведення моніторингових досліджень передбачає створення ради (спеціальної групи аналітиків) моніторингу як структурного пі</w:t>
      </w:r>
      <w:r>
        <w:rPr>
          <w:rFonts w:ascii="Times New Roman" w:hAnsi="Times New Roman"/>
          <w:color w:val="000000"/>
          <w:sz w:val="28"/>
          <w:szCs w:val="28"/>
          <w:lang w:eastAsia="uk-UA"/>
        </w:rPr>
        <w:t>дрозділу педагогічної ради СЕПШ</w:t>
      </w:r>
      <w:r w:rsidRPr="007C7623">
        <w:rPr>
          <w:rFonts w:ascii="Times New Roman" w:hAnsi="Times New Roman"/>
          <w:color w:val="000000"/>
          <w:sz w:val="28"/>
          <w:szCs w:val="28"/>
          <w:lang w:eastAsia="uk-UA"/>
        </w:rPr>
        <w:t>.</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1.7. Положення схвалюється педагогічною радою, затвер</w:t>
      </w:r>
      <w:r>
        <w:rPr>
          <w:rFonts w:ascii="Times New Roman" w:hAnsi="Times New Roman"/>
          <w:color w:val="000000"/>
          <w:sz w:val="28"/>
          <w:szCs w:val="28"/>
          <w:lang w:eastAsia="uk-UA"/>
        </w:rPr>
        <w:t>джується наказом директора СЕПШ</w:t>
      </w:r>
      <w:r w:rsidRPr="007C7623">
        <w:rPr>
          <w:rFonts w:ascii="Times New Roman" w:hAnsi="Times New Roman"/>
          <w:color w:val="000000"/>
          <w:sz w:val="28"/>
          <w:szCs w:val="28"/>
          <w:lang w:eastAsia="uk-UA"/>
        </w:rPr>
        <w:t>.</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1.8. Заклад у своїй діяльності керується чинним законодавством, нормативно-правовими актами з питань організації освітнього процесу та даним Положенням.</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1.9. Положення поширюється на всіх працівників загальноосвітнього навчального закладу та учасників освітнього процесу.</w:t>
      </w:r>
    </w:p>
    <w:p w:rsidR="00A81C38" w:rsidRPr="007C7623" w:rsidRDefault="00A81C38" w:rsidP="00E646F2">
      <w:pPr>
        <w:shd w:val="clear" w:color="auto" w:fill="FFFFFF"/>
        <w:spacing w:after="0" w:line="360" w:lineRule="auto"/>
        <w:jc w:val="center"/>
        <w:rPr>
          <w:rFonts w:ascii="Times New Roman" w:hAnsi="Times New Roman"/>
          <w:color w:val="000000"/>
          <w:sz w:val="28"/>
          <w:szCs w:val="28"/>
          <w:lang w:eastAsia="uk-UA"/>
        </w:rPr>
      </w:pPr>
      <w:r w:rsidRPr="00E646F2">
        <w:rPr>
          <w:rFonts w:ascii="Times New Roman" w:hAnsi="Times New Roman"/>
          <w:b/>
          <w:bCs/>
          <w:color w:val="000000"/>
          <w:sz w:val="28"/>
          <w:szCs w:val="28"/>
          <w:lang w:eastAsia="uk-UA"/>
        </w:rPr>
        <w:t xml:space="preserve">2. Мета, завдання і </w:t>
      </w:r>
      <w:r w:rsidRPr="00E646F2">
        <w:rPr>
          <w:rFonts w:ascii="Times New Roman" w:hAnsi="Times New Roman"/>
          <w:b/>
          <w:bCs/>
          <w:sz w:val="28"/>
          <w:szCs w:val="28"/>
          <w:lang w:eastAsia="uk-UA"/>
        </w:rPr>
        <w:t>функції</w:t>
      </w:r>
      <w:r w:rsidRPr="00E646F2">
        <w:rPr>
          <w:rFonts w:ascii="Times New Roman" w:hAnsi="Times New Roman"/>
          <w:b/>
          <w:bCs/>
          <w:color w:val="000000"/>
          <w:sz w:val="28"/>
          <w:szCs w:val="28"/>
          <w:lang w:eastAsia="uk-UA"/>
        </w:rPr>
        <w:t xml:space="preserve">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Мета внутрішкільного моніторингу </w:t>
      </w:r>
      <w:r>
        <w:rPr>
          <w:rFonts w:ascii="Times New Roman" w:hAnsi="Times New Roman"/>
          <w:color w:val="000000"/>
          <w:sz w:val="28"/>
          <w:szCs w:val="28"/>
          <w:lang w:eastAsia="uk-UA"/>
        </w:rPr>
        <w:t>−</w:t>
      </w:r>
      <w:r w:rsidRPr="007C7623">
        <w:rPr>
          <w:rFonts w:ascii="Times New Roman" w:hAnsi="Times New Roman"/>
          <w:color w:val="000000"/>
          <w:sz w:val="28"/>
          <w:szCs w:val="28"/>
          <w:lang w:eastAsia="uk-UA"/>
        </w:rPr>
        <w:t xml:space="preserve"> ефективне відслідковування функціонування освітнього простору в СЕПШ, виявлення динаміки його змін, розробка прогнозу та пропозицій для забезпечення розвитку закладу освіти; накопичення даних, необхідних для періодичного самооцінювання якості освітніх послуг закладу; аналітичне узагальнення результатів діяльності системи закладу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Завдання внутрішкільного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визначення якості навчальних досягнень учнів, з’ясування динаміки їх змін,</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 виявлення проблем, пов’язаних з організацією освітнього процесу;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характеристика якості освітнього простору, а також фі</w:t>
      </w:r>
      <w:r>
        <w:rPr>
          <w:rFonts w:ascii="Times New Roman" w:hAnsi="Times New Roman"/>
          <w:color w:val="000000"/>
          <w:sz w:val="28"/>
          <w:szCs w:val="28"/>
          <w:lang w:eastAsia="uk-UA"/>
        </w:rPr>
        <w:t>нансового, кадрового, навчально-методичного та матеріально</w:t>
      </w:r>
      <w:r w:rsidRPr="007C7623">
        <w:rPr>
          <w:rFonts w:ascii="Times New Roman" w:hAnsi="Times New Roman"/>
          <w:color w:val="000000"/>
          <w:sz w:val="28"/>
          <w:szCs w:val="28"/>
          <w:lang w:eastAsia="uk-UA"/>
        </w:rPr>
        <w:t>-технічного забезпечення навчального закладу.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Функції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інформаційна – створює масив інформації щодо якості освіти в закладі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діагностична </w:t>
      </w:r>
      <w:r>
        <w:rPr>
          <w:rFonts w:ascii="Times New Roman" w:hAnsi="Times New Roman"/>
          <w:color w:val="000000"/>
          <w:sz w:val="28"/>
          <w:szCs w:val="28"/>
          <w:lang w:eastAsia="uk-UA"/>
        </w:rPr>
        <w:t>–</w:t>
      </w:r>
      <w:r w:rsidRPr="007C7623">
        <w:rPr>
          <w:rFonts w:ascii="Times New Roman" w:hAnsi="Times New Roman"/>
          <w:color w:val="000000"/>
          <w:sz w:val="28"/>
          <w:szCs w:val="28"/>
          <w:lang w:eastAsia="uk-UA"/>
        </w:rPr>
        <w:t xml:space="preserve"> фіксує реальний стан якості освіти в закладі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оцінювальна – дає кількісно - якісну оцінку об’єктів освітнього процесу у навчальному закладі на основі певного набору критеріїв та показників;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коригувальна – мінімізує вплив негативних факторів у освітньому процесі;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прогностична – формує стратегію і тактику розвитку освіти у закладі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управлінська – впливає на зміст і методи управлінської діяльності.</w:t>
      </w:r>
    </w:p>
    <w:p w:rsidR="00A81C38" w:rsidRPr="007C7623" w:rsidRDefault="00A81C38" w:rsidP="00E646F2">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3. Об’єкти та предмет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Об’єктами внутрішкільного моніторингу у </w:t>
      </w:r>
      <w:r>
        <w:rPr>
          <w:rFonts w:ascii="Times New Roman" w:hAnsi="Times New Roman"/>
          <w:color w:val="000000"/>
          <w:sz w:val="28"/>
          <w:szCs w:val="28"/>
          <w:lang w:eastAsia="uk-UA"/>
        </w:rPr>
        <w:t>СЕПШ</w:t>
      </w:r>
      <w:r w:rsidRPr="007C7623">
        <w:rPr>
          <w:rFonts w:ascii="Times New Roman" w:hAnsi="Times New Roman"/>
          <w:color w:val="000000"/>
          <w:sz w:val="28"/>
          <w:szCs w:val="28"/>
          <w:lang w:eastAsia="uk-UA"/>
        </w:rPr>
        <w:t xml:space="preserve"> є:</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1)  освітнє середовище:</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ресурсне забезпечення (фінансове, матеріально-технічне, санітарно - гігієнічне);</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навчально-методичне забезпечення (навчальні програми, використовувані підручники і посібники та інша навчальна література);</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кадрове забезпечення;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інформаційне забезпечення;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академічна доброчесність.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2) освітній процес:</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планування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зміст освітньої діяльності;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впровадження освітніх інновацій;</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розвиток професійної компетентності педагогів;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психологічний супровід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участь батьків, громадськості в освітньому процесі.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3) результати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навченість (навчальні досягнення) учнів різних вікових груп із предметів інваріантної частини навчального плану;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особисті здобутки учнів у позаурочній діяльності (результати участі в учнівських олімпіадах з базових дисциплін, конкурсах, змаганнях тощо);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підвищення кваліфікації педагогічних працівників (кількість педагогічних працівників різних категорій, володіння вчителями інноваційними технологічними та прийомами педагогічної роботи тощо);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аналіз результатів ДПА;</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самоаналіз результатів ЗНО.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Предметом </w:t>
      </w:r>
      <w:r w:rsidRPr="007C7623">
        <w:rPr>
          <w:rFonts w:ascii="Times New Roman" w:hAnsi="Times New Roman"/>
          <w:color w:val="000000"/>
          <w:sz w:val="28"/>
          <w:szCs w:val="28"/>
          <w:lang w:eastAsia="uk-UA"/>
        </w:rPr>
        <w:t>внутрішкільного моніторингу є динаміка змін в освітній системі СЕПШ як основа його розвитку.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Суб'єкти</w:t>
      </w:r>
      <w:r w:rsidRPr="007C7623">
        <w:rPr>
          <w:rFonts w:ascii="Times New Roman" w:hAnsi="Times New Roman"/>
          <w:color w:val="000000"/>
          <w:sz w:val="28"/>
          <w:szCs w:val="28"/>
          <w:lang w:eastAsia="uk-UA"/>
        </w:rPr>
        <w:t> внутрішкільного моніторингу: адміністрація СЕПШ, педагогічний колектив, учні, батьки (опосередковано через органи самоврядування і педагогічний колектив).</w:t>
      </w:r>
    </w:p>
    <w:p w:rsidR="00A81C38" w:rsidRPr="007C7623" w:rsidRDefault="00A81C38" w:rsidP="00E646F2">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4. Принципи, види та рівні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w:t>
      </w:r>
      <w:r w:rsidRPr="007C7623">
        <w:rPr>
          <w:rFonts w:ascii="Times New Roman" w:hAnsi="Times New Roman"/>
          <w:b/>
          <w:bCs/>
          <w:color w:val="000000"/>
          <w:sz w:val="28"/>
          <w:szCs w:val="28"/>
          <w:lang w:eastAsia="uk-UA"/>
        </w:rPr>
        <w:t>Принципи</w:t>
      </w:r>
      <w:r w:rsidRPr="007C7623">
        <w:rPr>
          <w:rFonts w:ascii="Times New Roman" w:hAnsi="Times New Roman"/>
          <w:color w:val="000000"/>
          <w:sz w:val="28"/>
          <w:szCs w:val="28"/>
          <w:lang w:eastAsia="uk-UA"/>
        </w:rPr>
        <w:t>, на яких повинен базуватися внутрішкільний моніторинг:</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гуманістична спрямованість ( створення обстановки доброзичливості, довіри, поваги до особистості, неможливості використання результатів досліджень для застосування будь-яких репресивних дій до учасників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об’єктивність ( уникнення суб’єктивних оцінок, створення рівних умов для всіх учасників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системність ( комплексний підхід до вивчення різних аспектів життя закладу загальної середньої освіти, опрацювання та аналізу результатів досліджень);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валідність ( відповідність пропонованих контрольних завдань змісту навчальної програми, чіткість критеріїв виміру і оцінки, дотримання визначених процедур проведення та опрацювання результатів);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надійність результатів, що означає можливість підтвердження позитивних і негативних результатів різними способами контролю, шляхом повторного контролю, який проводять інші особи;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врахування психолого – педагогічних особливостей шляхом диференціації контрольних та діагностичних завдань;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рефлексія, що проявляється в аналізі та оцінці отриманих результатів на всіх рівнях управління, здійсненні самоаналізу і самооцінки.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w:t>
      </w:r>
      <w:r w:rsidRPr="007C7623">
        <w:rPr>
          <w:rFonts w:ascii="Times New Roman" w:hAnsi="Times New Roman"/>
          <w:b/>
          <w:bCs/>
          <w:color w:val="000000"/>
          <w:sz w:val="28"/>
          <w:szCs w:val="28"/>
          <w:lang w:eastAsia="uk-UA"/>
        </w:rPr>
        <w:t>Види внутрішкільного моніторингу:</w:t>
      </w:r>
    </w:p>
    <w:p w:rsidR="00A81C38" w:rsidRPr="007C7623" w:rsidRDefault="00A81C38" w:rsidP="002615B3">
      <w:pPr>
        <w:numPr>
          <w:ilvl w:val="0"/>
          <w:numId w:val="1"/>
        </w:numPr>
        <w:shd w:val="clear" w:color="auto" w:fill="FFFFFF"/>
        <w:spacing w:after="0" w:line="360" w:lineRule="auto"/>
        <w:ind w:left="0"/>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за цілями проведення: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інформаційний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діагностичний моніторинг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рівня сформованості конкретних компетентностей, особистісного розвитку учнів та ін.);</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управлінський (відстеження й оцінка ефективності, наслідків і вторинних ефектів прийнятих рішень, розроблених програм).</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2) за засобами, що використовуються: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педагогічний: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психологічний (вивчення пізнавальної сфери, емоційної рівноваги, моральних якостей);</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-ресурсний (визначення обсягів та якості забезпечення ЗНЗ матеріально - технічними, фінансовими, науково - методичними та іншими ресурсами);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кадровий (вивчення кадрового складу педагогів, процесу та результатів підвищення кваліфікації педагогів);</w:t>
      </w:r>
    </w:p>
    <w:p w:rsidR="00A81C38"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управлінський (оцінювання якості т</w:t>
      </w:r>
      <w:r>
        <w:rPr>
          <w:rFonts w:ascii="Times New Roman" w:hAnsi="Times New Roman"/>
          <w:color w:val="000000"/>
          <w:sz w:val="28"/>
          <w:szCs w:val="28"/>
          <w:lang w:eastAsia="uk-UA"/>
        </w:rPr>
        <w:t>а ефективності управління закладом</w:t>
      </w:r>
      <w:r w:rsidRPr="007C7623">
        <w:rPr>
          <w:rFonts w:ascii="Times New Roman" w:hAnsi="Times New Roman"/>
          <w:color w:val="000000"/>
          <w:sz w:val="28"/>
          <w:szCs w:val="28"/>
          <w:lang w:eastAsia="uk-UA"/>
        </w:rPr>
        <w:t>).</w:t>
      </w:r>
    </w:p>
    <w:p w:rsidR="00A81C38" w:rsidRDefault="00A81C38" w:rsidP="002615B3">
      <w:pPr>
        <w:shd w:val="clear" w:color="auto" w:fill="FFFFFF"/>
        <w:spacing w:after="0" w:line="360" w:lineRule="auto"/>
        <w:jc w:val="both"/>
        <w:rPr>
          <w:rFonts w:ascii="Times New Roman" w:hAnsi="Times New Roman"/>
          <w:color w:val="000000"/>
          <w:sz w:val="28"/>
          <w:szCs w:val="28"/>
          <w:lang w:eastAsia="uk-UA"/>
        </w:rPr>
      </w:pP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p>
    <w:p w:rsidR="00A81C38" w:rsidRDefault="00A81C38" w:rsidP="00F30400">
      <w:pPr>
        <w:shd w:val="clear" w:color="auto" w:fill="FFFFFF"/>
        <w:spacing w:after="0" w:line="360" w:lineRule="auto"/>
        <w:jc w:val="center"/>
        <w:rPr>
          <w:rFonts w:ascii="Times New Roman" w:hAnsi="Times New Roman"/>
          <w:b/>
          <w:bCs/>
          <w:color w:val="000000"/>
          <w:sz w:val="28"/>
          <w:szCs w:val="28"/>
          <w:lang w:eastAsia="uk-UA"/>
        </w:rPr>
      </w:pPr>
    </w:p>
    <w:p w:rsidR="00A81C38" w:rsidRDefault="00A81C38" w:rsidP="00F30400">
      <w:pPr>
        <w:shd w:val="clear" w:color="auto" w:fill="FFFFFF"/>
        <w:spacing w:after="0" w:line="360" w:lineRule="auto"/>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 xml:space="preserve">5. Прогнозовані результати </w:t>
      </w:r>
      <w:r w:rsidRPr="007C7623">
        <w:rPr>
          <w:rFonts w:ascii="Times New Roman" w:hAnsi="Times New Roman"/>
          <w:b/>
          <w:bCs/>
          <w:color w:val="000000"/>
          <w:sz w:val="28"/>
          <w:szCs w:val="28"/>
          <w:lang w:eastAsia="uk-UA"/>
        </w:rPr>
        <w:t>моніторингу</w:t>
      </w:r>
    </w:p>
    <w:p w:rsidR="00A81C38" w:rsidRPr="007C7623" w:rsidRDefault="00A81C38" w:rsidP="00F30400">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Проводячи внутрішкільний моніторинг, </w:t>
      </w:r>
      <w:r>
        <w:rPr>
          <w:rFonts w:ascii="Times New Roman" w:hAnsi="Times New Roman"/>
          <w:color w:val="000000"/>
          <w:sz w:val="28"/>
          <w:szCs w:val="28"/>
          <w:lang w:eastAsia="uk-UA"/>
        </w:rPr>
        <w:t>заклад освіти</w:t>
      </w:r>
      <w:r w:rsidRPr="007C7623">
        <w:rPr>
          <w:rFonts w:ascii="Times New Roman" w:hAnsi="Times New Roman"/>
          <w:color w:val="000000"/>
          <w:sz w:val="28"/>
          <w:szCs w:val="28"/>
          <w:lang w:eastAsia="uk-UA"/>
        </w:rPr>
        <w:t xml:space="preserve"> має орієнтуватися на такі результати: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підвищення якості надання освітніх послуг, формування позитивного іміджу, престижності та</w:t>
      </w:r>
      <w:r>
        <w:rPr>
          <w:rFonts w:ascii="Times New Roman" w:hAnsi="Times New Roman"/>
          <w:color w:val="000000"/>
          <w:sz w:val="28"/>
          <w:szCs w:val="28"/>
          <w:lang w:eastAsia="uk-UA"/>
        </w:rPr>
        <w:t xml:space="preserve"> конкурентноспроможності</w:t>
      </w:r>
      <w:r w:rsidRPr="007C7623">
        <w:rPr>
          <w:rFonts w:ascii="Times New Roman" w:hAnsi="Times New Roman"/>
          <w:color w:val="000000"/>
          <w:sz w:val="28"/>
          <w:szCs w:val="28"/>
          <w:lang w:eastAsia="uk-UA"/>
        </w:rPr>
        <w:t xml:space="preserve"> СЕПШ;</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створення необхідних умов для творчої діяльності учасників освітнього процесу, виявлення і підтримка обдарованої молоді, підняття престижу творчих педагогів;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впровадження освітніх інновацій, сучасних інформаційних технологій для оновлення змісту освіти й форм організації освітнього процесу;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активізація роботи адміністрації і педагогічого колективу </w:t>
      </w:r>
      <w:r>
        <w:rPr>
          <w:rFonts w:ascii="Times New Roman" w:hAnsi="Times New Roman"/>
          <w:color w:val="000000"/>
          <w:sz w:val="28"/>
          <w:szCs w:val="28"/>
          <w:lang w:eastAsia="uk-UA"/>
        </w:rPr>
        <w:t>СЕПШ</w:t>
      </w:r>
      <w:r w:rsidRPr="007C7623">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вироблення навичок контрольно-</w:t>
      </w:r>
      <w:r w:rsidRPr="007C7623">
        <w:rPr>
          <w:rFonts w:ascii="Times New Roman" w:hAnsi="Times New Roman"/>
          <w:color w:val="000000"/>
          <w:sz w:val="28"/>
          <w:szCs w:val="28"/>
          <w:lang w:eastAsia="uk-UA"/>
        </w:rPr>
        <w:t>аналітичної діяльності, самооцінки та саморегуляції;</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удосконалення управління закладом загальної середньої освіти, вироблення і корегування управлінських рішень, планування і прогнозування розвитку закладу загальної середньої освіти.</w:t>
      </w:r>
    </w:p>
    <w:p w:rsidR="00A81C38" w:rsidRPr="007C7623" w:rsidRDefault="00A81C38" w:rsidP="00F30400">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6. Організація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6.1. Створення Положення про моніторинг якості освіти в закладі загальної середньої освіти, що визначає цілі, завдання, напрями, об’єкти та періодичність досліджень, необхідних для реалізації стратегії розвитку СЕПШ, виконання школою погоджених шкільною спільнотою завдань щодо покращення якості освітніх послуг.</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6.2. Розробка внутрішнього моніторингу конкретної ділянки освітнього середовища, передбаченого Положенням, зокрема: умов, процесу чи результатів роботи закладу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Положення визначає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мету та завдання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об’єкт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формування вибірки;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терміни та процедуру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підбір та підготовку координаторів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визначення критеріїв оцінювання та показників (індикаторів), за якими збиратиметься інформація;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визначення методів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6.3. Підготовка інструментарію дослідження, передбаченого Положенням, (вибір анкет, тестів, методик, карт спостережень, підготовка інструктивно-методичних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6.4. Проведення дослідження, передбаченого Програмою, проектом (заповнення анкет, виконання тестів, проведення спостережень за обраними методиками).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6.5. Збір та опрацювання результатів (внесення результатів дослідження в базу, обробка та аналіз отриманих даних з використанням математичної статистики, факторно - критеріального аналізу, описового пояснення).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6.6. Аналіз та інтерпретація результатів внутрішкільного моніторингу стану 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 управлінських рішень, корекції програм, планів роботи ліцею, роботи окремих учителів, батьківського комітету, учнівського самоврядування тощо).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6.7. Оприлюднення результатів моніторингу та запровадження рекомендацій у практику.</w:t>
      </w:r>
    </w:p>
    <w:p w:rsidR="00A81C38" w:rsidRPr="007C7623" w:rsidRDefault="00A81C38" w:rsidP="00F30400">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7. Рекомендовані напрями моніторингових досліджень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7.1. Загальношкільний рівень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моніторинг рівня навченості учнів різних вікових груп;</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моніторинг стану викладання предметів інваріантної складової навчального плану;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моніторинг впровадження освітніх інновацій.</w:t>
      </w:r>
    </w:p>
    <w:p w:rsidR="00A81C38" w:rsidRDefault="00A81C38" w:rsidP="002615B3">
      <w:pPr>
        <w:shd w:val="clear" w:color="auto" w:fill="FFFFFF"/>
        <w:spacing w:after="0" w:line="360" w:lineRule="auto"/>
        <w:jc w:val="both"/>
        <w:rPr>
          <w:rFonts w:ascii="Times New Roman" w:hAnsi="Times New Roman"/>
          <w:color w:val="000000"/>
          <w:sz w:val="28"/>
          <w:szCs w:val="28"/>
          <w:lang w:eastAsia="uk-UA"/>
        </w:rPr>
      </w:pP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7.2. Локальний рівень: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моніторинг психологічної готовності першокласників до навчання в ліцеї;</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моніторинг адаптаційних процесів учнів 5-х класів до умов навчання в основній школі.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7.3. Індивідуальний рівень: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моніторинг професійної педагогічної компетентності вчителя (атестація);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моніторинг розвитку пізнавальної сфери та особистісного розвитку учнів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 xml:space="preserve">8. Обов’язкові для </w:t>
      </w:r>
      <w:r>
        <w:rPr>
          <w:rFonts w:ascii="Times New Roman" w:hAnsi="Times New Roman"/>
          <w:b/>
          <w:bCs/>
          <w:color w:val="000000"/>
          <w:sz w:val="28"/>
          <w:szCs w:val="28"/>
          <w:lang w:eastAsia="uk-UA"/>
        </w:rPr>
        <w:t>СЕПШ</w:t>
      </w:r>
      <w:r w:rsidRPr="007C7623">
        <w:rPr>
          <w:rFonts w:ascii="Times New Roman" w:hAnsi="Times New Roman"/>
          <w:b/>
          <w:bCs/>
          <w:color w:val="000000"/>
          <w:sz w:val="28"/>
          <w:szCs w:val="28"/>
          <w:lang w:eastAsia="uk-UA"/>
        </w:rPr>
        <w:t xml:space="preserve"> компоненти бази даних моніторингових досліджень: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загальні відомості про навчальний заклад (дата заснування, форма власності, юридична адреса, телефон, електронна адреса, мова навчання, профіль навчання, відомості про атестацію);</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матеріально-технічна база (кількість навчальних кабінетів, забезпечення технічними засобами навчання, забезпечення комп’ютерною технікою, забезпечення ЕЗНП);</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кадрове забезпечення навчального закладу (кількісний склад педагогічних працівників, освітньо-кваліфікаційний рівень, розподіл за віком, склад вчителів за педагогічним стажем, кваліфікаційними категоріями, аналіз руху кадрів, результати атестації педагогічних кадрів);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контингент учнів (мережа класів, віковий склад учнів, поглиблене вивчення предмета, розподіл учнів за профілем навчання, працевлаштування учнів 11 кл., рух учнів);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результативність освітнього процесу (динаміка навчальних досягнень учнів в розрізі класів та предметів, результати ДПА в 4-х, 9-х, 11-х класах, динаміка нагородження випускників 9-х та 11 класів, результати участі учнів в МАН, в олімпіадах, турнірах, конкурсах, спортивних змаганнях);</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методична робота, вдосконалення професійної педагогічної майстерності вчителя (аналіз підвищення кваліфікації педагогічних кадрів, аналіз участі педагогічних працівників у методичній роботі, участь педагогів у конференціях, семінарах, майстер - класах);</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охорона життя та безпека життєдіяльності ( динаміка травмування дітей під час освітнього процесу та в позаурочний час, стан травмування серед педагогів);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робота соціально - психологічної служби (дослідження психологічної готовності першокласників до навчання в ліцеї, адаптація учнів 5 класу до навчання в основній школі);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робота з батьками та громадськістю ( склад сімей учнів, соціальний статус).</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 xml:space="preserve">9. Звітність про результати внутрішкільного моніторингу та періодичність його проведення у </w:t>
      </w:r>
      <w:r>
        <w:rPr>
          <w:rFonts w:ascii="Times New Roman" w:hAnsi="Times New Roman"/>
          <w:b/>
          <w:bCs/>
          <w:color w:val="000000"/>
          <w:sz w:val="28"/>
          <w:szCs w:val="28"/>
          <w:lang w:eastAsia="uk-UA"/>
        </w:rPr>
        <w:t>СЕПШ</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Закладом освіти</w:t>
      </w:r>
      <w:r w:rsidRPr="007C7623">
        <w:rPr>
          <w:rFonts w:ascii="Times New Roman" w:hAnsi="Times New Roman"/>
          <w:color w:val="000000"/>
          <w:sz w:val="28"/>
          <w:szCs w:val="28"/>
          <w:lang w:eastAsia="uk-UA"/>
        </w:rPr>
        <w:t xml:space="preserve"> здійснюється звітування у зазначенні терміни шляхом надання інформації про: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кадрове забезпечення закладу загальної середньої освіти (вересень);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контингент учнів (вересень);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матеріально-технічну базу закладу загальної середньої освіти (вересень);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рівень навченості учнів ліцею за результатами навчання у І, ІІ семестрах та за рік для учнів початкової, основної та старшої школи (січень, червень);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рівень навченості учнів ліцею за результатами навчання у І, ІІ семестрах та за рік в розрізі навчальних предметів (січень, червень);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моніторингу професійної компетентності вчителя (січень - лютий);</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динаміку навчальних досягнень учнів в розрізі нульового, контрольного та підсумкового заміру знань з предметів навчального плану (вересень, грудень, травень);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результати моніторингу стану викладання предмету (предметів) інваріантної складової навчального плану (червень);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державної підсумкової атестації в 4, 9 та 11 класах (червень);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участі учнів СЕПШ у Всеукраїнських, обласних, районних, міських олімпіадах, турнірах, конкурсах (грудень - квітень);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участі учнів у ЗНО з української мови, математики, історії України (червень);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участі учнів у ЗНО за результатами щорічного Офіційного звіту УЦОЯО про проведення зовнішнього незалежного оцінювання випускників закладів загальної середньої освіти (серпень).</w:t>
      </w:r>
    </w:p>
    <w:p w:rsidR="00A81C38" w:rsidRPr="007C7623" w:rsidRDefault="00A81C38" w:rsidP="00F30400">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10. Нормативно-правове забезпечення внутрішкільного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Нормативно-правовим забезпеченням внутрішкільного моніторингу є:</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модель моніторингу якості освіти у навчальному закладі системи загальної освіти Харківської області;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шкільне Положення про внутрішній моніторинг (на основі типового Положення);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інструкції про проведення моніторингу на підставі обраних критеріїв та показників оцінювання;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форми інформаційних бланків, види комп’ютерних програм для внесення і обробки даних (за наявності).</w:t>
      </w:r>
    </w:p>
    <w:p w:rsidR="00A81C38" w:rsidRPr="007C7623" w:rsidRDefault="00A81C38" w:rsidP="00F30400">
      <w:pPr>
        <w:shd w:val="clear" w:color="auto" w:fill="FFFFFF"/>
        <w:spacing w:after="0" w:line="360" w:lineRule="auto"/>
        <w:jc w:val="center"/>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11. Рекомендовані технології та інструментарій</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Моніторинг рівня навченості учнів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Мета: підвищення рівня навчальних досягнень учнів шляхом їх постійного вимірювання, аналізу результатів та цілеспрямованого коригування.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Завдання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дослідження якості знань учнів та їх відповідність Державному стандарту загальної середньої освіти;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виявлення та аналіз чинників, що впливають на рівень успішності учнів;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підтримка мотивації навчання;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виявлення обдарованих учнів, підтримка їх інтелектуального розвитку;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нагромадження даних для порівняльного аналізу діяльності учнів та класних колективів;</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прогнозування на основі отриманих даних тенденцій розвитку навчального закладу.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Прогнозовані результати: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w:t>
      </w:r>
      <w:r w:rsidRPr="007C7623">
        <w:rPr>
          <w:rFonts w:ascii="Times New Roman" w:hAnsi="Times New Roman"/>
          <w:color w:val="000000"/>
          <w:sz w:val="28"/>
          <w:szCs w:val="28"/>
          <w:lang w:eastAsia="uk-UA"/>
        </w:rPr>
        <w:t>отримання об’єктивної інформації про якість знань учнів з базових дисциплін в навчальному закладі в цілому, окремих класів та кожного учня;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коригування навчального процесу та його навчально -методичного забезпечення на основі результатів досліджень;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 упровадження тестових технологій проведення підсумкового контролю знань у </w:t>
      </w:r>
      <w:r>
        <w:rPr>
          <w:rFonts w:ascii="Times New Roman" w:hAnsi="Times New Roman"/>
          <w:color w:val="000000"/>
          <w:sz w:val="28"/>
          <w:szCs w:val="28"/>
          <w:lang w:eastAsia="uk-UA"/>
        </w:rPr>
        <w:t>СЕПШ</w:t>
      </w:r>
      <w:r w:rsidRPr="007C7623">
        <w:rPr>
          <w:rFonts w:ascii="Times New Roman" w:hAnsi="Times New Roman"/>
          <w:color w:val="000000"/>
          <w:sz w:val="28"/>
          <w:szCs w:val="28"/>
          <w:lang w:eastAsia="uk-UA"/>
        </w:rPr>
        <w:t>.</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Об’єкт моніторингу</w:t>
      </w:r>
      <w:r w:rsidRPr="007C7623">
        <w:rPr>
          <w:rFonts w:ascii="Times New Roman" w:hAnsi="Times New Roman"/>
          <w:color w:val="000000"/>
          <w:sz w:val="28"/>
          <w:szCs w:val="28"/>
          <w:lang w:eastAsia="uk-UA"/>
        </w:rPr>
        <w:t> </w:t>
      </w:r>
      <w:r>
        <w:rPr>
          <w:rFonts w:ascii="Times New Roman" w:hAnsi="Times New Roman"/>
          <w:color w:val="000000"/>
          <w:sz w:val="28"/>
          <w:szCs w:val="28"/>
          <w:lang w:eastAsia="uk-UA"/>
        </w:rPr>
        <w:t>−</w:t>
      </w:r>
      <w:r w:rsidRPr="007C7623">
        <w:rPr>
          <w:rFonts w:ascii="Times New Roman" w:hAnsi="Times New Roman"/>
          <w:i/>
          <w:iCs/>
          <w:color w:val="000000"/>
          <w:sz w:val="28"/>
          <w:szCs w:val="28"/>
          <w:lang w:eastAsia="uk-UA"/>
        </w:rPr>
        <w:t> </w:t>
      </w:r>
      <w:r w:rsidRPr="007C7623">
        <w:rPr>
          <w:rFonts w:ascii="Times New Roman" w:hAnsi="Times New Roman"/>
          <w:color w:val="000000"/>
          <w:sz w:val="28"/>
          <w:szCs w:val="28"/>
          <w:lang w:eastAsia="uk-UA"/>
        </w:rPr>
        <w:t>рівень навчальних досягнень учнів з предметів інваріантної частини навчального плану.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Предмет</w:t>
      </w:r>
      <w:r>
        <w:rPr>
          <w:rFonts w:ascii="Times New Roman" w:hAnsi="Times New Roman"/>
          <w:b/>
          <w:bCs/>
          <w:i/>
          <w:iCs/>
          <w:color w:val="000000"/>
          <w:sz w:val="28"/>
          <w:szCs w:val="28"/>
          <w:lang w:eastAsia="uk-UA"/>
        </w:rPr>
        <w:t xml:space="preserve"> </w:t>
      </w:r>
      <w:r>
        <w:rPr>
          <w:rFonts w:ascii="Times New Roman" w:hAnsi="Times New Roman"/>
          <w:color w:val="000000"/>
          <w:sz w:val="28"/>
          <w:szCs w:val="28"/>
          <w:lang w:eastAsia="uk-UA"/>
        </w:rPr>
        <w:t xml:space="preserve">− </w:t>
      </w:r>
      <w:r w:rsidRPr="007C7623">
        <w:rPr>
          <w:rFonts w:ascii="Times New Roman" w:hAnsi="Times New Roman"/>
          <w:color w:val="000000"/>
          <w:sz w:val="28"/>
          <w:szCs w:val="28"/>
          <w:lang w:eastAsia="uk-UA"/>
        </w:rPr>
        <w:t>динаміка зміни рівнів навченості протягом кількох етапів моніторингових досліджень.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Напрямки моніторингу: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моніторинг результативності навчання;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предметний моніторинг;</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дослідження результативності участі учнів у Всеукраїнських, обласних, районних, міських олімпіадах, турнірах, конкурсах МАН;</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зовнішнього незалежного оцінювання учнів 11 класу.</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Інструментарій моніторингу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діагностичні контрольні роботи;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результати тематичного та підсумкового оцінювання;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статистична документація;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спостереження;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анкетування;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кваліметричні таблиці.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i/>
          <w:iCs/>
          <w:color w:val="000000"/>
          <w:sz w:val="28"/>
          <w:szCs w:val="28"/>
          <w:lang w:eastAsia="uk-UA"/>
        </w:rPr>
        <w:t>При визначенні навчальних досягнень учнів аналізові підлягають: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характеристика відповіді учня ( елементарна, фрагментарна, неповна, логічна, доказова, обгрунтована, творча);</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якість знань (правильність, повнота, осмисленість, глибина, гнучкість, дієвість, системність, узагальненість, міцність);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ступінь сформованост</w:t>
      </w:r>
      <w:r>
        <w:rPr>
          <w:rFonts w:ascii="Times New Roman" w:hAnsi="Times New Roman"/>
          <w:color w:val="000000"/>
          <w:sz w:val="28"/>
          <w:szCs w:val="28"/>
          <w:lang w:eastAsia="uk-UA"/>
        </w:rPr>
        <w:t>і загальнонавчальних (навчально-організаційних, навчально-інтелектуальних, навчально</w:t>
      </w:r>
      <w:r w:rsidRPr="007C7623">
        <w:rPr>
          <w:rFonts w:ascii="Times New Roman" w:hAnsi="Times New Roman"/>
          <w:color w:val="000000"/>
          <w:sz w:val="28"/>
          <w:szCs w:val="28"/>
          <w:lang w:eastAsia="uk-UA"/>
        </w:rPr>
        <w:t>-інформаційних, навчально - комунікативних) і предметних умінь та навичок;</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рівень оволодіння розумовими операціями (вмінням аналізувати, синтезувати, порівнювати, абстрагувати, узагальнювати, робити висновки тощо);</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ступінь самостійності учнів у навчальній діяльності;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 досвід творчої діяльності (вміння виявляти та розв’язувати проблеми, формулювати гіпотези);</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самостійність оціночних суджень.</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xml:space="preserve">Вказані компоненти покладені в основу чотирьох рівнів навчальних досягнень: початкового, середнього, достатнього і високого. Відповідно до Критеріїв оцінювання навчальних досягнень учнів в системі загальної середньої освіти в загальнодидактичному плані ці рівні визначаються за такими </w:t>
      </w:r>
      <w:r>
        <w:rPr>
          <w:rFonts w:ascii="Times New Roman" w:hAnsi="Times New Roman"/>
          <w:color w:val="000000"/>
          <w:sz w:val="28"/>
          <w:szCs w:val="28"/>
          <w:lang w:eastAsia="uk-UA"/>
        </w:rPr>
        <w:t xml:space="preserve"> </w:t>
      </w:r>
      <w:r w:rsidRPr="007C7623">
        <w:rPr>
          <w:rFonts w:ascii="Times New Roman" w:hAnsi="Times New Roman"/>
          <w:color w:val="000000"/>
          <w:sz w:val="28"/>
          <w:szCs w:val="28"/>
          <w:lang w:eastAsia="uk-UA"/>
        </w:rPr>
        <w:t>характеристиками :</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І рівень – початковий (1–3 бали). </w:t>
      </w:r>
      <w:r w:rsidRPr="007C7623">
        <w:rPr>
          <w:rFonts w:ascii="Times New Roman" w:hAnsi="Times New Roman"/>
          <w:color w:val="000000"/>
          <w:sz w:val="28"/>
          <w:szCs w:val="28"/>
          <w:lang w:eastAsia="uk-UA"/>
        </w:rPr>
        <w:t>Відповідь учня фрагментарна, характеризується початковими уявленнями про предмет вивчення. Вміння не сформовані, рівень самостійності навчальної діяльності низький.</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ІІ рівень – середній ( 4–6 балів).</w:t>
      </w:r>
      <w:r w:rsidRPr="007C7623">
        <w:rPr>
          <w:rFonts w:ascii="Times New Roman" w:hAnsi="Times New Roman"/>
          <w:color w:val="000000"/>
          <w:sz w:val="28"/>
          <w:szCs w:val="28"/>
          <w:lang w:eastAsia="uk-UA"/>
        </w:rPr>
        <w:t> Знання неповні, поверхові. Учень відтворює основний навчальний матеріал, але недостатньо осмислено, не вміє самостійно аналізувати, робити висновки. Здатний розв′язувати завдання за зразком. Володіє елементарними вміннями навчальної діяльності.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 ІІІ рівень – достатній ( 7–9 балів).</w:t>
      </w:r>
      <w:r w:rsidRPr="007C7623">
        <w:rPr>
          <w:rFonts w:ascii="Times New Roman" w:hAnsi="Times New Roman"/>
          <w:color w:val="000000"/>
          <w:sz w:val="28"/>
          <w:szCs w:val="28"/>
          <w:lang w:eastAsia="uk-UA"/>
        </w:rPr>
        <w:t> Учень знає істотні ознаки понять, явищ, зв′язки між ними, а також самостійно застосовує знання в стандартних ситуаціях, володіє розумовими операціями (аналізом, синтезом, абстрагуванням, узагальненням тощо), вміє робити висновки, виправляти допущені помилки. Відповідь учня повна, правильна, логічна, обгрунтована, проте без елементів власних суджень. Він здатний самостійно здійснювати основні види навчальної діяльності.</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b/>
          <w:bCs/>
          <w:color w:val="000000"/>
          <w:sz w:val="28"/>
          <w:szCs w:val="28"/>
          <w:lang w:eastAsia="uk-UA"/>
        </w:rPr>
        <w:t>ІV рівень - високий ( 10–12 балів</w:t>
      </w:r>
      <w:r w:rsidRPr="007C7623">
        <w:rPr>
          <w:rFonts w:ascii="Times New Roman" w:hAnsi="Times New Roman"/>
          <w:color w:val="000000"/>
          <w:sz w:val="28"/>
          <w:szCs w:val="28"/>
          <w:lang w:eastAsia="uk-UA"/>
        </w:rPr>
        <w:t>).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навчальні ситуації, явища, факти, виявляти і відстоювати власну позицію. Застосування цих критеріїв дозволяє оцінити навчальні досягнення учнів у вигляді кількісного показника – кількості балів за 12-бальною шкалою оцінювання.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w:t>
      </w:r>
    </w:p>
    <w:p w:rsidR="00A81C38" w:rsidRPr="007C7623" w:rsidRDefault="00A81C38" w:rsidP="00F30400">
      <w:pPr>
        <w:shd w:val="clear" w:color="auto" w:fill="FFFFFF"/>
        <w:spacing w:after="0" w:line="360" w:lineRule="auto"/>
        <w:jc w:val="center"/>
        <w:rPr>
          <w:rFonts w:ascii="Times New Roman" w:hAnsi="Times New Roman"/>
          <w:color w:val="000000"/>
          <w:sz w:val="28"/>
          <w:szCs w:val="28"/>
          <w:lang w:eastAsia="uk-UA"/>
        </w:rPr>
      </w:pPr>
      <w:r w:rsidRPr="00F30400">
        <w:rPr>
          <w:rFonts w:ascii="Times New Roman" w:hAnsi="Times New Roman"/>
          <w:b/>
          <w:color w:val="000000"/>
          <w:sz w:val="28"/>
          <w:szCs w:val="28"/>
          <w:lang w:eastAsia="uk-UA"/>
        </w:rPr>
        <w:t>12</w:t>
      </w:r>
      <w:r w:rsidRPr="007C7623">
        <w:rPr>
          <w:rFonts w:ascii="Times New Roman" w:hAnsi="Times New Roman"/>
          <w:color w:val="000000"/>
          <w:sz w:val="28"/>
          <w:szCs w:val="28"/>
          <w:lang w:eastAsia="uk-UA"/>
        </w:rPr>
        <w:t>.</w:t>
      </w:r>
      <w:r w:rsidRPr="007C7623">
        <w:rPr>
          <w:rFonts w:ascii="Times New Roman" w:hAnsi="Times New Roman"/>
          <w:b/>
          <w:bCs/>
          <w:color w:val="000000"/>
          <w:sz w:val="28"/>
          <w:szCs w:val="28"/>
          <w:lang w:eastAsia="uk-UA"/>
        </w:rPr>
        <w:t> </w:t>
      </w:r>
      <w:r>
        <w:rPr>
          <w:rFonts w:ascii="Times New Roman" w:hAnsi="Times New Roman"/>
          <w:b/>
          <w:bCs/>
          <w:color w:val="000000"/>
          <w:sz w:val="28"/>
          <w:szCs w:val="28"/>
          <w:lang w:eastAsia="uk-UA"/>
        </w:rPr>
        <w:t>Прикінцеві положення</w:t>
      </w:r>
    </w:p>
    <w:p w:rsidR="00A81C38" w:rsidRPr="007C7623" w:rsidRDefault="00A81C38" w:rsidP="002615B3">
      <w:pPr>
        <w:shd w:val="clear" w:color="auto" w:fill="FFFFFF"/>
        <w:spacing w:after="0" w:line="360" w:lineRule="auto"/>
        <w:jc w:val="both"/>
        <w:rPr>
          <w:rFonts w:ascii="Times New Roman" w:hAnsi="Times New Roman"/>
          <w:color w:val="000000"/>
          <w:sz w:val="28"/>
          <w:szCs w:val="28"/>
          <w:lang w:eastAsia="uk-UA"/>
        </w:rPr>
      </w:pPr>
      <w:r w:rsidRPr="007C7623">
        <w:rPr>
          <w:rFonts w:ascii="Times New Roman" w:hAnsi="Times New Roman"/>
          <w:color w:val="000000"/>
          <w:sz w:val="28"/>
          <w:szCs w:val="28"/>
          <w:lang w:eastAsia="uk-UA"/>
        </w:rPr>
        <w:t>   Положення погоджується педагогічною радою закладу і вводиться в дію наказом директора школи.</w:t>
      </w:r>
    </w:p>
    <w:p w:rsidR="00A81C38" w:rsidRPr="007C7623" w:rsidRDefault="00A81C38" w:rsidP="002615B3">
      <w:pPr>
        <w:shd w:val="clear" w:color="auto" w:fill="FFFFFF"/>
        <w:spacing w:after="0" w:line="360" w:lineRule="auto"/>
        <w:rPr>
          <w:rFonts w:ascii="Times New Roman" w:hAnsi="Times New Roman"/>
          <w:color w:val="000000"/>
          <w:sz w:val="28"/>
          <w:szCs w:val="28"/>
          <w:lang w:eastAsia="uk-UA"/>
        </w:rPr>
      </w:pPr>
      <w:r w:rsidRPr="007C7623">
        <w:rPr>
          <w:rFonts w:ascii="Times New Roman" w:hAnsi="Times New Roman"/>
          <w:color w:val="000000"/>
          <w:sz w:val="28"/>
          <w:szCs w:val="28"/>
          <w:lang w:eastAsia="uk-UA"/>
        </w:rPr>
        <w:t> </w:t>
      </w:r>
    </w:p>
    <w:p w:rsidR="00A81C38" w:rsidRPr="007C7623" w:rsidRDefault="00A81C38" w:rsidP="002615B3">
      <w:pPr>
        <w:shd w:val="clear" w:color="auto" w:fill="FFFFFF"/>
        <w:spacing w:after="0" w:line="360" w:lineRule="auto"/>
        <w:rPr>
          <w:rFonts w:ascii="Times New Roman" w:hAnsi="Times New Roman"/>
          <w:color w:val="000000"/>
          <w:sz w:val="28"/>
          <w:szCs w:val="28"/>
          <w:lang w:eastAsia="uk-UA"/>
        </w:rPr>
      </w:pPr>
      <w:r w:rsidRPr="007C7623">
        <w:rPr>
          <w:rFonts w:ascii="Times New Roman" w:hAnsi="Times New Roman"/>
          <w:color w:val="000000"/>
          <w:sz w:val="28"/>
          <w:szCs w:val="28"/>
          <w:lang w:eastAsia="uk-UA"/>
        </w:rPr>
        <w:t> </w:t>
      </w:r>
    </w:p>
    <w:p w:rsidR="00A81C38" w:rsidRPr="007C7623" w:rsidRDefault="00A81C38" w:rsidP="002615B3">
      <w:pPr>
        <w:shd w:val="clear" w:color="auto" w:fill="FFFFFF"/>
        <w:spacing w:after="0" w:line="360" w:lineRule="auto"/>
        <w:rPr>
          <w:rFonts w:ascii="Times New Roman" w:hAnsi="Times New Roman"/>
          <w:color w:val="000000"/>
          <w:sz w:val="28"/>
          <w:szCs w:val="28"/>
          <w:lang w:eastAsia="uk-UA"/>
        </w:rPr>
      </w:pPr>
    </w:p>
    <w:p w:rsidR="00A81C38" w:rsidRPr="007C7623" w:rsidRDefault="00A81C38" w:rsidP="002615B3">
      <w:pPr>
        <w:shd w:val="clear" w:color="auto" w:fill="FFFFFF"/>
        <w:spacing w:after="0" w:line="360" w:lineRule="auto"/>
        <w:rPr>
          <w:rFonts w:ascii="Times New Roman" w:hAnsi="Times New Roman"/>
          <w:color w:val="000000"/>
          <w:sz w:val="28"/>
          <w:szCs w:val="28"/>
          <w:lang w:eastAsia="uk-UA"/>
        </w:rPr>
      </w:pPr>
    </w:p>
    <w:sectPr w:rsidR="00A81C38" w:rsidRPr="007C7623" w:rsidSect="00D37C5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38" w:rsidRDefault="00A81C38">
      <w:r>
        <w:separator/>
      </w:r>
    </w:p>
  </w:endnote>
  <w:endnote w:type="continuationSeparator" w:id="0">
    <w:p w:rsidR="00A81C38" w:rsidRDefault="00A8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38" w:rsidRDefault="00A81C38">
      <w:r>
        <w:separator/>
      </w:r>
    </w:p>
  </w:footnote>
  <w:footnote w:type="continuationSeparator" w:id="0">
    <w:p w:rsidR="00A81C38" w:rsidRDefault="00A8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38" w:rsidRDefault="00A81C38" w:rsidP="000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C38" w:rsidRDefault="00A81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38" w:rsidRDefault="00A81C38" w:rsidP="000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81C38" w:rsidRDefault="00A8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A99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2689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D059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4EC2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5A82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901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542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0025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7EF4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C635CC"/>
    <w:lvl w:ilvl="0">
      <w:start w:val="1"/>
      <w:numFmt w:val="bullet"/>
      <w:lvlText w:val=""/>
      <w:lvlJc w:val="left"/>
      <w:pPr>
        <w:tabs>
          <w:tab w:val="num" w:pos="360"/>
        </w:tabs>
        <w:ind w:left="360" w:hanging="360"/>
      </w:pPr>
      <w:rPr>
        <w:rFonts w:ascii="Symbol" w:hAnsi="Symbol" w:hint="default"/>
      </w:rPr>
    </w:lvl>
  </w:abstractNum>
  <w:abstractNum w:abstractNumId="10">
    <w:nsid w:val="04753680"/>
    <w:multiLevelType w:val="multilevel"/>
    <w:tmpl w:val="F9DE4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87F4245"/>
    <w:multiLevelType w:val="multilevel"/>
    <w:tmpl w:val="13305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5CE228C"/>
    <w:multiLevelType w:val="multilevel"/>
    <w:tmpl w:val="33800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F6F1718"/>
    <w:multiLevelType w:val="hybridMultilevel"/>
    <w:tmpl w:val="D4A2C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12"/>
    <w:lvlOverride w:ilvl="0">
      <w:startOverride w:val="8"/>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1B9"/>
    <w:rsid w:val="00007CD2"/>
    <w:rsid w:val="000820BB"/>
    <w:rsid w:val="000A4A3C"/>
    <w:rsid w:val="000F245E"/>
    <w:rsid w:val="00160489"/>
    <w:rsid w:val="001B7349"/>
    <w:rsid w:val="00230A15"/>
    <w:rsid w:val="002615B3"/>
    <w:rsid w:val="002F26F8"/>
    <w:rsid w:val="0031714A"/>
    <w:rsid w:val="00427B90"/>
    <w:rsid w:val="00456D8C"/>
    <w:rsid w:val="0047356C"/>
    <w:rsid w:val="004C6CAA"/>
    <w:rsid w:val="004E570B"/>
    <w:rsid w:val="00542ED4"/>
    <w:rsid w:val="00670ABF"/>
    <w:rsid w:val="007319F7"/>
    <w:rsid w:val="00753A8E"/>
    <w:rsid w:val="007C7623"/>
    <w:rsid w:val="007E0DCB"/>
    <w:rsid w:val="00846B77"/>
    <w:rsid w:val="008D0F06"/>
    <w:rsid w:val="00A63B49"/>
    <w:rsid w:val="00A81C38"/>
    <w:rsid w:val="00AB1FC5"/>
    <w:rsid w:val="00AF49ED"/>
    <w:rsid w:val="00B02D2E"/>
    <w:rsid w:val="00B10501"/>
    <w:rsid w:val="00B26135"/>
    <w:rsid w:val="00BF0356"/>
    <w:rsid w:val="00CB32C5"/>
    <w:rsid w:val="00D37C52"/>
    <w:rsid w:val="00E646F2"/>
    <w:rsid w:val="00E84152"/>
    <w:rsid w:val="00EF09AA"/>
    <w:rsid w:val="00EF2469"/>
    <w:rsid w:val="00F021B9"/>
    <w:rsid w:val="00F30400"/>
    <w:rsid w:val="00F340C1"/>
    <w:rsid w:val="00F52163"/>
    <w:rsid w:val="00F64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52"/>
    <w:pPr>
      <w:spacing w:after="200" w:line="276" w:lineRule="auto"/>
    </w:pPr>
    <w:rPr>
      <w:lang w:val="uk-UA" w:eastAsia="en-US"/>
    </w:rPr>
  </w:style>
  <w:style w:type="paragraph" w:styleId="Heading2">
    <w:name w:val="heading 2"/>
    <w:basedOn w:val="Normal"/>
    <w:link w:val="Heading2Char"/>
    <w:uiPriority w:val="99"/>
    <w:qFormat/>
    <w:rsid w:val="002615B3"/>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15B3"/>
    <w:rPr>
      <w:rFonts w:ascii="Times New Roman" w:hAnsi="Times New Roman" w:cs="Times New Roman"/>
      <w:b/>
      <w:bCs/>
      <w:sz w:val="36"/>
      <w:szCs w:val="36"/>
      <w:lang w:eastAsia="uk-UA"/>
    </w:rPr>
  </w:style>
  <w:style w:type="character" w:customStyle="1" w:styleId="label">
    <w:name w:val="label"/>
    <w:basedOn w:val="DefaultParagraphFont"/>
    <w:uiPriority w:val="99"/>
    <w:rsid w:val="002615B3"/>
    <w:rPr>
      <w:rFonts w:cs="Times New Roman"/>
    </w:rPr>
  </w:style>
  <w:style w:type="paragraph" w:styleId="z-TopofForm">
    <w:name w:val="HTML Top of Form"/>
    <w:basedOn w:val="Normal"/>
    <w:next w:val="Normal"/>
    <w:link w:val="z-TopofFormChar"/>
    <w:hidden/>
    <w:uiPriority w:val="99"/>
    <w:semiHidden/>
    <w:rsid w:val="002615B3"/>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TopofFormChar">
    <w:name w:val="z-Top of Form Char"/>
    <w:basedOn w:val="DefaultParagraphFont"/>
    <w:link w:val="z-TopofForm"/>
    <w:uiPriority w:val="99"/>
    <w:semiHidden/>
    <w:locked/>
    <w:rsid w:val="002615B3"/>
    <w:rPr>
      <w:rFonts w:ascii="Arial" w:hAnsi="Arial" w:cs="Arial"/>
      <w:vanish/>
      <w:sz w:val="16"/>
      <w:szCs w:val="16"/>
      <w:lang w:eastAsia="uk-UA"/>
    </w:rPr>
  </w:style>
  <w:style w:type="character" w:styleId="Hyperlink">
    <w:name w:val="Hyperlink"/>
    <w:basedOn w:val="DefaultParagraphFont"/>
    <w:uiPriority w:val="99"/>
    <w:semiHidden/>
    <w:rsid w:val="002615B3"/>
    <w:rPr>
      <w:rFonts w:cs="Times New Roman"/>
      <w:color w:val="0000FF"/>
      <w:u w:val="single"/>
    </w:rPr>
  </w:style>
  <w:style w:type="character" w:styleId="FollowedHyperlink">
    <w:name w:val="FollowedHyperlink"/>
    <w:basedOn w:val="DefaultParagraphFont"/>
    <w:uiPriority w:val="99"/>
    <w:semiHidden/>
    <w:rsid w:val="002615B3"/>
    <w:rPr>
      <w:rFonts w:cs="Times New Roman"/>
      <w:color w:val="800080"/>
      <w:u w:val="single"/>
    </w:rPr>
  </w:style>
  <w:style w:type="paragraph" w:styleId="z-BottomofForm">
    <w:name w:val="HTML Bottom of Form"/>
    <w:basedOn w:val="Normal"/>
    <w:next w:val="Normal"/>
    <w:link w:val="z-BottomofFormChar"/>
    <w:hidden/>
    <w:uiPriority w:val="99"/>
    <w:semiHidden/>
    <w:rsid w:val="002615B3"/>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BottomofFormChar">
    <w:name w:val="z-Bottom of Form Char"/>
    <w:basedOn w:val="DefaultParagraphFont"/>
    <w:link w:val="z-BottomofForm"/>
    <w:uiPriority w:val="99"/>
    <w:semiHidden/>
    <w:locked/>
    <w:rsid w:val="002615B3"/>
    <w:rPr>
      <w:rFonts w:ascii="Arial" w:hAnsi="Arial" w:cs="Arial"/>
      <w:vanish/>
      <w:sz w:val="16"/>
      <w:szCs w:val="16"/>
      <w:lang w:eastAsia="uk-UA"/>
    </w:rPr>
  </w:style>
  <w:style w:type="paragraph" w:styleId="NormalWeb">
    <w:name w:val="Normal (Web)"/>
    <w:basedOn w:val="Normal"/>
    <w:uiPriority w:val="99"/>
    <w:rsid w:val="002615B3"/>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2615B3"/>
    <w:rPr>
      <w:rFonts w:cs="Times New Roman"/>
      <w:b/>
      <w:bCs/>
    </w:rPr>
  </w:style>
  <w:style w:type="paragraph" w:styleId="HTMLPreformatted">
    <w:name w:val="HTML Preformatted"/>
    <w:basedOn w:val="Normal"/>
    <w:link w:val="HTMLPreformattedChar"/>
    <w:uiPriority w:val="99"/>
    <w:semiHidden/>
    <w:rsid w:val="0026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2615B3"/>
    <w:rPr>
      <w:rFonts w:ascii="Courier New" w:hAnsi="Courier New" w:cs="Courier New"/>
      <w:sz w:val="20"/>
      <w:szCs w:val="20"/>
      <w:lang w:eastAsia="uk-UA"/>
    </w:rPr>
  </w:style>
  <w:style w:type="paragraph" w:customStyle="1" w:styleId="rtecenter">
    <w:name w:val="rtecenter"/>
    <w:basedOn w:val="Normal"/>
    <w:uiPriority w:val="99"/>
    <w:rsid w:val="002615B3"/>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2615B3"/>
    <w:rPr>
      <w:rFonts w:cs="Times New Roman"/>
      <w:i/>
      <w:iCs/>
    </w:rPr>
  </w:style>
  <w:style w:type="paragraph" w:styleId="BalloonText">
    <w:name w:val="Balloon Text"/>
    <w:basedOn w:val="Normal"/>
    <w:link w:val="BalloonTextChar"/>
    <w:uiPriority w:val="99"/>
    <w:semiHidden/>
    <w:rsid w:val="0026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5B3"/>
    <w:rPr>
      <w:rFonts w:ascii="Tahoma" w:hAnsi="Tahoma" w:cs="Tahoma"/>
      <w:sz w:val="16"/>
      <w:szCs w:val="16"/>
    </w:rPr>
  </w:style>
  <w:style w:type="paragraph" w:styleId="ListParagraph">
    <w:name w:val="List Paragraph"/>
    <w:basedOn w:val="Normal"/>
    <w:uiPriority w:val="99"/>
    <w:qFormat/>
    <w:rsid w:val="007C7623"/>
    <w:pPr>
      <w:ind w:left="720"/>
      <w:contextualSpacing/>
    </w:pPr>
  </w:style>
  <w:style w:type="paragraph" w:styleId="Header">
    <w:name w:val="header"/>
    <w:basedOn w:val="Normal"/>
    <w:link w:val="HeaderChar"/>
    <w:uiPriority w:val="99"/>
    <w:rsid w:val="00D37C52"/>
    <w:pPr>
      <w:tabs>
        <w:tab w:val="center" w:pos="4677"/>
        <w:tab w:val="right" w:pos="9355"/>
      </w:tabs>
    </w:pPr>
  </w:style>
  <w:style w:type="character" w:customStyle="1" w:styleId="HeaderChar">
    <w:name w:val="Header Char"/>
    <w:basedOn w:val="DefaultParagraphFont"/>
    <w:link w:val="Header"/>
    <w:uiPriority w:val="99"/>
    <w:semiHidden/>
    <w:locked/>
    <w:rsid w:val="00F52163"/>
    <w:rPr>
      <w:rFonts w:cs="Times New Roman"/>
      <w:lang w:val="uk-UA" w:eastAsia="en-US"/>
    </w:rPr>
  </w:style>
  <w:style w:type="character" w:styleId="PageNumber">
    <w:name w:val="page number"/>
    <w:basedOn w:val="DefaultParagraphFont"/>
    <w:uiPriority w:val="99"/>
    <w:rsid w:val="00D37C52"/>
    <w:rPr>
      <w:rFonts w:cs="Times New Roman"/>
    </w:rPr>
  </w:style>
</w:styles>
</file>

<file path=word/webSettings.xml><?xml version="1.0" encoding="utf-8"?>
<w:webSettings xmlns:r="http://schemas.openxmlformats.org/officeDocument/2006/relationships" xmlns:w="http://schemas.openxmlformats.org/wordprocessingml/2006/main">
  <w:divs>
    <w:div w:id="1890988924">
      <w:marLeft w:val="0"/>
      <w:marRight w:val="0"/>
      <w:marTop w:val="0"/>
      <w:marBottom w:val="0"/>
      <w:divBdr>
        <w:top w:val="none" w:sz="0" w:space="0" w:color="auto"/>
        <w:left w:val="none" w:sz="0" w:space="0" w:color="auto"/>
        <w:bottom w:val="none" w:sz="0" w:space="0" w:color="auto"/>
        <w:right w:val="none" w:sz="0" w:space="0" w:color="auto"/>
      </w:divBdr>
    </w:div>
    <w:div w:id="1890988930">
      <w:marLeft w:val="0"/>
      <w:marRight w:val="0"/>
      <w:marTop w:val="0"/>
      <w:marBottom w:val="0"/>
      <w:divBdr>
        <w:top w:val="none" w:sz="0" w:space="0" w:color="auto"/>
        <w:left w:val="none" w:sz="0" w:space="0" w:color="auto"/>
        <w:bottom w:val="none" w:sz="0" w:space="0" w:color="auto"/>
        <w:right w:val="none" w:sz="0" w:space="0" w:color="auto"/>
      </w:divBdr>
      <w:divsChild>
        <w:div w:id="1890988931">
          <w:marLeft w:val="0"/>
          <w:marRight w:val="0"/>
          <w:marTop w:val="0"/>
          <w:marBottom w:val="0"/>
          <w:divBdr>
            <w:top w:val="none" w:sz="0" w:space="0" w:color="auto"/>
            <w:left w:val="none" w:sz="0" w:space="0" w:color="auto"/>
            <w:bottom w:val="none" w:sz="0" w:space="0" w:color="auto"/>
            <w:right w:val="none" w:sz="0" w:space="0" w:color="auto"/>
          </w:divBdr>
          <w:divsChild>
            <w:div w:id="1890988938">
              <w:marLeft w:val="0"/>
              <w:marRight w:val="0"/>
              <w:marTop w:val="0"/>
              <w:marBottom w:val="0"/>
              <w:divBdr>
                <w:top w:val="none" w:sz="0" w:space="0" w:color="auto"/>
                <w:left w:val="none" w:sz="0" w:space="0" w:color="auto"/>
                <w:bottom w:val="none" w:sz="0" w:space="0" w:color="auto"/>
                <w:right w:val="none" w:sz="0" w:space="0" w:color="auto"/>
              </w:divBdr>
              <w:divsChild>
                <w:div w:id="1890988934">
                  <w:marLeft w:val="0"/>
                  <w:marRight w:val="0"/>
                  <w:marTop w:val="0"/>
                  <w:marBottom w:val="0"/>
                  <w:divBdr>
                    <w:top w:val="none" w:sz="0" w:space="0" w:color="auto"/>
                    <w:left w:val="none" w:sz="0" w:space="0" w:color="auto"/>
                    <w:bottom w:val="none" w:sz="0" w:space="0" w:color="auto"/>
                    <w:right w:val="none" w:sz="0" w:space="0" w:color="auto"/>
                  </w:divBdr>
                  <w:divsChild>
                    <w:div w:id="1890988929">
                      <w:marLeft w:val="0"/>
                      <w:marRight w:val="0"/>
                      <w:marTop w:val="0"/>
                      <w:marBottom w:val="0"/>
                      <w:divBdr>
                        <w:top w:val="none" w:sz="0" w:space="0" w:color="auto"/>
                        <w:left w:val="none" w:sz="0" w:space="0" w:color="auto"/>
                        <w:bottom w:val="none" w:sz="0" w:space="0" w:color="auto"/>
                        <w:right w:val="none" w:sz="0" w:space="0" w:color="auto"/>
                      </w:divBdr>
                      <w:divsChild>
                        <w:div w:id="1890988928">
                          <w:marLeft w:val="0"/>
                          <w:marRight w:val="0"/>
                          <w:marTop w:val="75"/>
                          <w:marBottom w:val="0"/>
                          <w:divBdr>
                            <w:top w:val="none" w:sz="0" w:space="0" w:color="auto"/>
                            <w:left w:val="none" w:sz="0" w:space="0" w:color="auto"/>
                            <w:bottom w:val="none" w:sz="0" w:space="0" w:color="auto"/>
                            <w:right w:val="none" w:sz="0" w:space="0" w:color="auto"/>
                          </w:divBdr>
                        </w:div>
                        <w:div w:id="1890988940">
                          <w:marLeft w:val="0"/>
                          <w:marRight w:val="0"/>
                          <w:marTop w:val="0"/>
                          <w:marBottom w:val="0"/>
                          <w:divBdr>
                            <w:top w:val="none" w:sz="0" w:space="0" w:color="auto"/>
                            <w:left w:val="none" w:sz="0" w:space="0" w:color="auto"/>
                            <w:bottom w:val="none" w:sz="0" w:space="0" w:color="auto"/>
                            <w:right w:val="none" w:sz="0" w:space="0" w:color="auto"/>
                          </w:divBdr>
                          <w:divsChild>
                            <w:div w:id="1890988922">
                              <w:marLeft w:val="0"/>
                              <w:marRight w:val="0"/>
                              <w:marTop w:val="0"/>
                              <w:marBottom w:val="0"/>
                              <w:divBdr>
                                <w:top w:val="none" w:sz="0" w:space="0" w:color="auto"/>
                                <w:left w:val="none" w:sz="0" w:space="0" w:color="auto"/>
                                <w:bottom w:val="none" w:sz="0" w:space="0" w:color="auto"/>
                                <w:right w:val="none" w:sz="0" w:space="0" w:color="auto"/>
                              </w:divBdr>
                              <w:divsChild>
                                <w:div w:id="1890988942">
                                  <w:marLeft w:val="0"/>
                                  <w:marRight w:val="0"/>
                                  <w:marTop w:val="0"/>
                                  <w:marBottom w:val="0"/>
                                  <w:divBdr>
                                    <w:top w:val="none" w:sz="0" w:space="0" w:color="auto"/>
                                    <w:left w:val="none" w:sz="0" w:space="0" w:color="auto"/>
                                    <w:bottom w:val="none" w:sz="0" w:space="0" w:color="auto"/>
                                    <w:right w:val="none" w:sz="0" w:space="0" w:color="auto"/>
                                  </w:divBdr>
                                  <w:divsChild>
                                    <w:div w:id="1890988933">
                                      <w:marLeft w:val="0"/>
                                      <w:marRight w:val="0"/>
                                      <w:marTop w:val="0"/>
                                      <w:marBottom w:val="0"/>
                                      <w:divBdr>
                                        <w:top w:val="none" w:sz="0" w:space="0" w:color="auto"/>
                                        <w:left w:val="none" w:sz="0" w:space="0" w:color="auto"/>
                                        <w:bottom w:val="none" w:sz="0" w:space="0" w:color="auto"/>
                                        <w:right w:val="none" w:sz="0" w:space="0" w:color="auto"/>
                                      </w:divBdr>
                                      <w:divsChild>
                                        <w:div w:id="1890988941">
                                          <w:marLeft w:val="0"/>
                                          <w:marRight w:val="0"/>
                                          <w:marTop w:val="0"/>
                                          <w:marBottom w:val="0"/>
                                          <w:divBdr>
                                            <w:top w:val="none" w:sz="0" w:space="0" w:color="auto"/>
                                            <w:left w:val="none" w:sz="0" w:space="0" w:color="auto"/>
                                            <w:bottom w:val="none" w:sz="0" w:space="0" w:color="auto"/>
                                            <w:right w:val="none" w:sz="0" w:space="0" w:color="auto"/>
                                          </w:divBdr>
                                          <w:divsChild>
                                            <w:div w:id="1890988944">
                                              <w:marLeft w:val="0"/>
                                              <w:marRight w:val="0"/>
                                              <w:marTop w:val="0"/>
                                              <w:marBottom w:val="0"/>
                                              <w:divBdr>
                                                <w:top w:val="none" w:sz="0" w:space="0" w:color="auto"/>
                                                <w:left w:val="none" w:sz="0" w:space="0" w:color="auto"/>
                                                <w:bottom w:val="none" w:sz="0" w:space="0" w:color="auto"/>
                                                <w:right w:val="none" w:sz="0" w:space="0" w:color="auto"/>
                                              </w:divBdr>
                                              <w:divsChild>
                                                <w:div w:id="1890988921">
                                                  <w:marLeft w:val="0"/>
                                                  <w:marRight w:val="0"/>
                                                  <w:marTop w:val="0"/>
                                                  <w:marBottom w:val="0"/>
                                                  <w:divBdr>
                                                    <w:top w:val="none" w:sz="0" w:space="0" w:color="auto"/>
                                                    <w:left w:val="none" w:sz="0" w:space="0" w:color="auto"/>
                                                    <w:bottom w:val="none" w:sz="0" w:space="0" w:color="auto"/>
                                                    <w:right w:val="none" w:sz="0" w:space="0" w:color="auto"/>
                                                  </w:divBdr>
                                                </w:div>
                                                <w:div w:id="1890988926">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890988939">
                                                  <w:marLeft w:val="0"/>
                                                  <w:marRight w:val="0"/>
                                                  <w:marTop w:val="0"/>
                                                  <w:marBottom w:val="0"/>
                                                  <w:divBdr>
                                                    <w:top w:val="none" w:sz="0" w:space="0" w:color="auto"/>
                                                    <w:left w:val="none" w:sz="0" w:space="0" w:color="auto"/>
                                                    <w:bottom w:val="none" w:sz="0" w:space="0" w:color="auto"/>
                                                    <w:right w:val="none" w:sz="0" w:space="0" w:color="auto"/>
                                                  </w:divBdr>
                                                </w:div>
                                                <w:div w:id="18909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88945">
                          <w:marLeft w:val="0"/>
                          <w:marRight w:val="0"/>
                          <w:marTop w:val="150"/>
                          <w:marBottom w:val="0"/>
                          <w:divBdr>
                            <w:top w:val="dashed" w:sz="6" w:space="8" w:color="CCCCCC"/>
                            <w:left w:val="none" w:sz="0" w:space="0" w:color="auto"/>
                            <w:bottom w:val="none" w:sz="0" w:space="0" w:color="auto"/>
                            <w:right w:val="none" w:sz="0" w:space="0" w:color="auto"/>
                          </w:divBdr>
                          <w:divsChild>
                            <w:div w:id="1890988923">
                              <w:marLeft w:val="0"/>
                              <w:marRight w:val="0"/>
                              <w:marTop w:val="0"/>
                              <w:marBottom w:val="0"/>
                              <w:divBdr>
                                <w:top w:val="none" w:sz="0" w:space="0" w:color="auto"/>
                                <w:left w:val="none" w:sz="0" w:space="0" w:color="auto"/>
                                <w:bottom w:val="none" w:sz="0" w:space="0" w:color="auto"/>
                                <w:right w:val="none" w:sz="0" w:space="0" w:color="auto"/>
                              </w:divBdr>
                            </w:div>
                            <w:div w:id="1890988925">
                              <w:marLeft w:val="0"/>
                              <w:marRight w:val="0"/>
                              <w:marTop w:val="0"/>
                              <w:marBottom w:val="0"/>
                              <w:divBdr>
                                <w:top w:val="none" w:sz="0" w:space="0" w:color="auto"/>
                                <w:left w:val="none" w:sz="0" w:space="0" w:color="auto"/>
                                <w:bottom w:val="none" w:sz="0" w:space="0" w:color="auto"/>
                                <w:right w:val="none" w:sz="0" w:space="0" w:color="auto"/>
                              </w:divBdr>
                            </w:div>
                            <w:div w:id="1890988927">
                              <w:marLeft w:val="0"/>
                              <w:marRight w:val="0"/>
                              <w:marTop w:val="0"/>
                              <w:marBottom w:val="0"/>
                              <w:divBdr>
                                <w:top w:val="none" w:sz="0" w:space="0" w:color="auto"/>
                                <w:left w:val="none" w:sz="0" w:space="0" w:color="auto"/>
                                <w:bottom w:val="none" w:sz="0" w:space="0" w:color="auto"/>
                                <w:right w:val="none" w:sz="0" w:space="0" w:color="auto"/>
                              </w:divBdr>
                            </w:div>
                            <w:div w:id="1890988935">
                              <w:marLeft w:val="0"/>
                              <w:marRight w:val="0"/>
                              <w:marTop w:val="0"/>
                              <w:marBottom w:val="0"/>
                              <w:divBdr>
                                <w:top w:val="none" w:sz="0" w:space="0" w:color="auto"/>
                                <w:left w:val="none" w:sz="0" w:space="0" w:color="auto"/>
                                <w:bottom w:val="none" w:sz="0" w:space="0" w:color="auto"/>
                                <w:right w:val="none" w:sz="0" w:space="0" w:color="auto"/>
                              </w:divBdr>
                            </w:div>
                            <w:div w:id="1890988936">
                              <w:marLeft w:val="0"/>
                              <w:marRight w:val="0"/>
                              <w:marTop w:val="0"/>
                              <w:marBottom w:val="0"/>
                              <w:divBdr>
                                <w:top w:val="none" w:sz="0" w:space="0" w:color="auto"/>
                                <w:left w:val="none" w:sz="0" w:space="0" w:color="auto"/>
                                <w:bottom w:val="none" w:sz="0" w:space="0" w:color="auto"/>
                                <w:right w:val="none" w:sz="0" w:space="0" w:color="auto"/>
                              </w:divBdr>
                            </w:div>
                            <w:div w:id="1890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14</Pages>
  <Words>3023</Words>
  <Characters>17233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sepsh</cp:lastModifiedBy>
  <cp:revision>12</cp:revision>
  <dcterms:created xsi:type="dcterms:W3CDTF">2020-06-12T02:16:00Z</dcterms:created>
  <dcterms:modified xsi:type="dcterms:W3CDTF">2021-12-03T12:01:00Z</dcterms:modified>
</cp:coreProperties>
</file>